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360"/>
        <w:jc w:val="center"/>
        <w:rPr>
          <w:rFonts w:ascii="Arial" w:hAnsi="Arial" w:eastAsia="Arial" w:cs="Arial"/>
          <w:b/>
          <w:b/>
          <w:sz w:val="20"/>
          <w:szCs w:val="20"/>
        </w:rPr>
      </w:pPr>
      <w:r>
        <w:rPr>
          <w:rFonts w:eastAsia="Arial" w:cs="Arial"/>
          <w:b/>
          <w:sz w:val="20"/>
          <w:szCs w:val="20"/>
        </w:rPr>
      </w:r>
    </w:p>
    <w:p>
      <w:pPr>
        <w:pStyle w:val="LOnormal"/>
        <w:keepNext w:val="false"/>
        <w:keepLines w:val="false"/>
        <w:widowControl/>
        <w:shd w:val="clear" w:fill="auto"/>
        <w:spacing w:lineRule="auto" w:line="276" w:before="0" w:after="200"/>
        <w:ind w:left="0" w:right="0" w:hanging="0"/>
        <w:jc w:val="center"/>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CURRICOLO TRIENNIO LICEO</w:t>
      </w:r>
    </w:p>
    <w:p>
      <w:pPr>
        <w:pStyle w:val="LOnormal"/>
        <w:keepNext w:val="false"/>
        <w:keepLines w:val="false"/>
        <w:widowControl/>
        <w:shd w:val="clear" w:fill="auto"/>
        <w:spacing w:lineRule="auto" w:line="276" w:before="0" w:after="200"/>
        <w:ind w:left="0" w:right="0" w:hanging="0"/>
        <w:jc w:val="center"/>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EDUCAZIONE CIVICA</w:t>
      </w:r>
    </w:p>
    <w:p>
      <w:pPr>
        <w:pStyle w:val="LOnormal"/>
        <w:spacing w:lineRule="auto" w:line="240" w:before="0" w:after="120"/>
        <w:rPr>
          <w:color w:val="000000"/>
        </w:rPr>
      </w:pPr>
      <w:r>
        <w:rPr>
          <w:color w:val="000000"/>
        </w:rPr>
        <w:t xml:space="preserve">L’insegnamento di Educazione civica è caratterizzato dalla trasversalità: ogni disciplina è, di per sé, parte integrante della formazione civica e sociale di ciascun alunno. </w:t>
      </w:r>
    </w:p>
    <w:p>
      <w:pPr>
        <w:pStyle w:val="LOnormal"/>
        <w:spacing w:lineRule="auto" w:line="240" w:before="0" w:after="120"/>
        <w:rPr>
          <w:color w:val="000000"/>
        </w:rPr>
      </w:pPr>
      <w:r>
        <w:rPr>
          <w:color w:val="000000"/>
        </w:rPr>
        <w:t xml:space="preserve">L’insegnamento si sviluppa intorno a tre nuclei tematici: </w:t>
      </w:r>
    </w:p>
    <w:p>
      <w:pPr>
        <w:pStyle w:val="LOnormal"/>
        <w:spacing w:lineRule="auto" w:line="240" w:before="0" w:after="120"/>
        <w:rPr>
          <w:color w:val="000000"/>
        </w:rPr>
      </w:pPr>
      <w:r>
        <w:rPr>
          <w:color w:val="000000"/>
        </w:rPr>
      </w:r>
    </w:p>
    <w:p>
      <w:pPr>
        <w:pStyle w:val="LOnormal"/>
        <w:spacing w:lineRule="auto" w:line="240" w:before="0" w:after="120"/>
        <w:rPr>
          <w:color w:val="000000"/>
        </w:rPr>
      </w:pPr>
      <w:r>
        <w:rPr>
          <w:b/>
          <w:color w:val="000000"/>
        </w:rPr>
        <w:t xml:space="preserve">1. Costituzione, diritto, legalità e solidarietà; </w:t>
      </w:r>
    </w:p>
    <w:p>
      <w:pPr>
        <w:pStyle w:val="LOnormal"/>
        <w:spacing w:lineRule="auto" w:line="240" w:before="0" w:after="120"/>
        <w:rPr>
          <w:color w:val="000000"/>
        </w:rPr>
      </w:pPr>
      <w:r>
        <w:rPr>
          <w:b/>
          <w:color w:val="000000"/>
        </w:rPr>
        <w:t xml:space="preserve">2. Sviluppo sostenibile, educazione ambientale, conoscenza e tutela del patrimonio e del territorio; </w:t>
      </w:r>
    </w:p>
    <w:p>
      <w:pPr>
        <w:pStyle w:val="LOnormal"/>
        <w:spacing w:lineRule="auto" w:line="240" w:before="0" w:after="120"/>
        <w:rPr>
          <w:color w:val="000000"/>
        </w:rPr>
      </w:pPr>
      <w:r>
        <w:rPr>
          <w:b/>
          <w:color w:val="000000"/>
        </w:rPr>
        <w:t>3. Cittadinanza digitale</w:t>
      </w:r>
    </w:p>
    <w:p>
      <w:pPr>
        <w:pStyle w:val="LOnormal"/>
        <w:spacing w:lineRule="auto" w:line="240" w:before="0" w:after="120"/>
        <w:rPr>
          <w:color w:val="000000"/>
        </w:rPr>
      </w:pPr>
      <w:r>
        <w:rPr>
          <w:color w:val="000000"/>
        </w:rPr>
      </w:r>
    </w:p>
    <w:p>
      <w:pPr>
        <w:pStyle w:val="LOnormal"/>
        <w:spacing w:lineRule="auto" w:line="240" w:before="0" w:after="200"/>
        <w:jc w:val="both"/>
        <w:rPr>
          <w:u w:val="single"/>
        </w:rPr>
      </w:pPr>
      <w:r>
        <w:rPr>
          <w:b/>
          <w:u w:val="single"/>
        </w:rPr>
        <w:t>Obiettivi disciplinari</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 Conoscere l’organizzazione costituzionale ed amministrativa del nostro Paese per rispondere ai propri doveri di cittadino ed esercitare con consapevolezza i propri diritti politici a livello territoriale e nazionale.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2. Conoscere i valori che ispirano gli ordinamenti comunitari e internazionali, nonché i loro compiti e funzioni essenziali.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3. Essere consapevoli del valore e delle regole della vita democratica anche attraverso l’approfondimento degli elementi fondamentali del diritto che la regolano, con particolare riferimento al diritto del lavoro.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4. Esercitare correttamente le modalità di rappresentanza, di delega, di rispetto degli impegni assunti e fatti propri all’interno di diversi ambiti istituzionali e sociali.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5. Partecipare al dibattito culturale.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6. Cogliere la complessità dei problemi esistenziali, morali, politici, sociali, economici e scientifici e formulare risposte personali argomentate.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7. Prendere coscienza delle situazioni e delle forme del disagio giovanile ed adulto nella società contemporanea e comportarsi in modo da promuovere il benessere fisico, psicologico, morale e sociale.</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8. Rispettare l’ambiente, curarlo, conservarlo, migliorarlo, assumendo il principio di responsabilità.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9.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10. Perseguire con ogni mezzo e in ogni contesto il principio di legalità e di solidarietà dell’azione individuale e sociale, promuovendo principi, valori e abiti di contrasto alla criminalità organizzata e alle mafie.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11. Esercitare i principi della cittadinanza digitale, con competenza e coerenza rispetto al sistema integrato di valori che regolano la vita democratica.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12. Compiere le scelte di partecipazione alla vita pubblica e di cittadinanza coerentemente agli obiettivi di sostenibilità sanciti a livello comunitario attraverso l’Agenda 2030 per lo sviluppo sostenibile.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 xml:space="preserve">13. Operare a favore dello sviluppo eco-sostenibile e della tutela delle identità e delle eccellenze produttive del Paese. </w:t>
      </w:r>
    </w:p>
    <w:p>
      <w:pPr>
        <w:pStyle w:val="LOnormal"/>
        <w:spacing w:lineRule="auto" w:line="240" w:before="0" w:after="200"/>
        <w:jc w:val="both"/>
        <w:rPr>
          <w:rFonts w:ascii="Calibri" w:hAnsi="Calibri" w:eastAsia="Calibri" w:cs="Calibri"/>
          <w:sz w:val="22"/>
          <w:szCs w:val="22"/>
        </w:rPr>
      </w:pPr>
      <w:r>
        <w:rPr>
          <w:rFonts w:eastAsia="Calibri" w:cs="Calibri" w:ascii="Calibri" w:hAnsi="Calibri"/>
          <w:sz w:val="22"/>
          <w:szCs w:val="22"/>
        </w:rPr>
        <w:t>14. Rispettare e valorizzare il patrimonio culturale e dei beni pubblici comuni.</w:t>
      </w:r>
    </w:p>
    <w:p>
      <w:pPr>
        <w:pStyle w:val="LOnormal"/>
        <w:jc w:val="both"/>
        <w:rPr/>
      </w:pPr>
      <w:r>
        <w:rPr/>
      </w:r>
    </w:p>
    <w:p>
      <w:pPr>
        <w:pStyle w:val="LOnormal"/>
        <w:keepNext w:val="false"/>
        <w:keepLines w:val="false"/>
        <w:widowControl/>
        <w:shd w:val="clear" w:fill="auto"/>
        <w:spacing w:lineRule="auto" w:line="240" w:before="0" w:after="20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rFonts w:eastAsia="Arial" w:cs="Arial"/>
          <w:b/>
          <w:i w:val="false"/>
          <w:caps w:val="false"/>
          <w:smallCaps w:val="false"/>
          <w:strike w:val="false"/>
          <w:dstrike w:val="false"/>
          <w:color w:val="00000A"/>
          <w:position w:val="0"/>
          <w:sz w:val="20"/>
          <w:sz w:val="20"/>
          <w:szCs w:val="20"/>
          <w:u w:val="single"/>
          <w:shd w:fill="auto" w:val="clear"/>
          <w:vertAlign w:val="baseline"/>
        </w:rPr>
      </w:r>
    </w:p>
    <w:p>
      <w:pPr>
        <w:pStyle w:val="LOnormal"/>
        <w:keepNext w:val="false"/>
        <w:keepLines w:val="false"/>
        <w:widowControl/>
        <w:shd w:val="clear" w:fill="auto"/>
        <w:spacing w:lineRule="auto" w:line="276" w:before="0" w:after="20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Obiettivi minimi</w:t>
      </w:r>
    </w:p>
    <w:p>
      <w:pPr>
        <w:pStyle w:val="LOnormal"/>
        <w:numPr>
          <w:ilvl w:val="0"/>
          <w:numId w:val="3"/>
        </w:numPr>
        <w:ind w:left="360" w:hanging="360"/>
        <w:jc w:val="both"/>
        <w:rPr>
          <w:rFonts w:ascii="Arial" w:hAnsi="Arial" w:eastAsia="Arial" w:cs="Arial"/>
          <w:sz w:val="20"/>
          <w:szCs w:val="20"/>
        </w:rPr>
      </w:pPr>
      <w:r>
        <w:rPr/>
        <w:t>Riconoscere nel testo costituzionale i principi che regolano la nostra forma di Stato</w:t>
      </w:r>
    </w:p>
    <w:p>
      <w:pPr>
        <w:pStyle w:val="LOnormal"/>
        <w:numPr>
          <w:ilvl w:val="0"/>
          <w:numId w:val="3"/>
        </w:numPr>
        <w:ind w:left="360" w:hanging="360"/>
        <w:jc w:val="both"/>
        <w:rPr>
          <w:rFonts w:ascii="Arial" w:hAnsi="Arial" w:eastAsia="Arial" w:cs="Arial"/>
          <w:sz w:val="20"/>
          <w:szCs w:val="20"/>
        </w:rPr>
      </w:pPr>
      <w:r>
        <w:rPr/>
        <w:t>Individuare l’evoluzione storica e i caratteri delle diverse forme di Stato e di Governo, cogliendo analogie e differenze</w:t>
      </w:r>
    </w:p>
    <w:p>
      <w:pPr>
        <w:pStyle w:val="LOnormal"/>
        <w:numPr>
          <w:ilvl w:val="0"/>
          <w:numId w:val="3"/>
        </w:numPr>
        <w:ind w:left="360" w:hanging="360"/>
        <w:jc w:val="both"/>
        <w:rPr>
          <w:rFonts w:ascii="Arial" w:hAnsi="Arial" w:eastAsia="Arial" w:cs="Arial"/>
          <w:sz w:val="20"/>
          <w:szCs w:val="20"/>
        </w:rPr>
      </w:pPr>
      <w:r>
        <w:rPr/>
        <w:t>Distinguere i diversi organi costituzionali e coglierne analogie e differenze in ordine a natura, struttura e funzioni</w:t>
      </w:r>
    </w:p>
    <w:p>
      <w:pPr>
        <w:pStyle w:val="LOnormal"/>
        <w:numPr>
          <w:ilvl w:val="0"/>
          <w:numId w:val="3"/>
        </w:numPr>
        <w:ind w:left="360" w:hanging="360"/>
        <w:jc w:val="both"/>
        <w:rPr>
          <w:rFonts w:ascii="Arial" w:hAnsi="Arial" w:eastAsia="Arial" w:cs="Arial"/>
          <w:sz w:val="20"/>
          <w:szCs w:val="20"/>
        </w:rPr>
      </w:pPr>
      <w:r>
        <w:rPr/>
        <w:t>Riconoscere le funzioni dei principali organi dell’Unione Europea e distinguere i diversi tipi di norme comunitarie</w:t>
      </w:r>
    </w:p>
    <w:p>
      <w:pPr>
        <w:pStyle w:val="LOnormal"/>
        <w:numPr>
          <w:ilvl w:val="0"/>
          <w:numId w:val="3"/>
        </w:numPr>
        <w:ind w:left="360" w:hanging="360"/>
        <w:jc w:val="both"/>
        <w:rPr>
          <w:rFonts w:ascii="Arial" w:hAnsi="Arial" w:eastAsia="Arial" w:cs="Arial"/>
          <w:sz w:val="20"/>
          <w:szCs w:val="20"/>
        </w:rPr>
      </w:pPr>
      <w:r>
        <w:rPr>
          <w:color w:val="000000"/>
        </w:rPr>
        <w:t>Sviluppare l'attitudine alla riflessione sull'uomo e sulla società, riconoscendo elementi di continuità col passato negli argomenti studiati</w:t>
      </w:r>
    </w:p>
    <w:p>
      <w:pPr>
        <w:pStyle w:val="LOnormal"/>
        <w:numPr>
          <w:ilvl w:val="0"/>
          <w:numId w:val="3"/>
        </w:numPr>
        <w:ind w:left="360" w:hanging="360"/>
        <w:jc w:val="both"/>
        <w:rPr>
          <w:rFonts w:ascii="Arial" w:hAnsi="Arial" w:eastAsia="Arial" w:cs="Arial"/>
          <w:sz w:val="20"/>
          <w:szCs w:val="20"/>
        </w:rPr>
      </w:pPr>
      <w:r>
        <w:rPr>
          <w:color w:val="000000"/>
        </w:rPr>
        <w:t xml:space="preserve">Approfondire alcune tematiche e problemi di attualità </w:t>
      </w:r>
    </w:p>
    <w:p>
      <w:pPr>
        <w:pStyle w:val="LOnormal"/>
        <w:numPr>
          <w:ilvl w:val="0"/>
          <w:numId w:val="3"/>
        </w:numPr>
        <w:shd w:val="clear" w:fill="FFFFFF"/>
        <w:spacing w:lineRule="auto" w:line="240" w:before="0" w:after="0"/>
        <w:jc w:val="both"/>
        <w:rPr>
          <w:color w:val="000000"/>
        </w:rPr>
      </w:pPr>
      <w:r>
        <w:rPr>
          <w:color w:val="000000"/>
        </w:rPr>
        <w:t>Conoscere le principali sostanze di uso comune e il loro impatto ambientale (terzo anno)</w:t>
      </w:r>
    </w:p>
    <w:p>
      <w:pPr>
        <w:pStyle w:val="LOnormal"/>
        <w:numPr>
          <w:ilvl w:val="0"/>
          <w:numId w:val="3"/>
        </w:numPr>
        <w:shd w:val="clear" w:fill="FFFFFF"/>
        <w:spacing w:lineRule="auto" w:line="240" w:before="0" w:after="0"/>
        <w:rPr>
          <w:color w:val="000000"/>
        </w:rPr>
      </w:pPr>
      <w:r>
        <w:rPr>
          <w:color w:val="222222"/>
        </w:rPr>
        <w:t>Riconoscere l’impatto sulla salute di alcuni stili di vita (quarto anno)</w:t>
      </w:r>
    </w:p>
    <w:p>
      <w:pPr>
        <w:pStyle w:val="LOnormal"/>
        <w:numPr>
          <w:ilvl w:val="0"/>
          <w:numId w:val="3"/>
        </w:numPr>
        <w:shd w:val="clear" w:fill="FFFFFF"/>
        <w:spacing w:lineRule="auto" w:line="240" w:before="0" w:after="0"/>
        <w:jc w:val="both"/>
        <w:rPr>
          <w:color w:val="000000"/>
        </w:rPr>
      </w:pPr>
      <w:r>
        <w:rPr>
          <w:color w:val="222222"/>
        </w:rPr>
        <w:t xml:space="preserve">Essere in grado di effettuare considerazioni riguardo alle problematiche collegate alla ricerca scientifica (quinto anno) </w:t>
      </w:r>
    </w:p>
    <w:p>
      <w:pPr>
        <w:pStyle w:val="LOnormal"/>
        <w:numPr>
          <w:ilvl w:val="0"/>
          <w:numId w:val="3"/>
        </w:numPr>
        <w:shd w:val="clear" w:fill="FFFFFF"/>
        <w:spacing w:lineRule="auto" w:line="240" w:before="0" w:after="0"/>
        <w:jc w:val="both"/>
        <w:rPr>
          <w:color w:val="000000"/>
        </w:rPr>
      </w:pPr>
      <w:r>
        <w:rPr>
          <w:color w:val="222222"/>
        </w:rPr>
        <w:t>Uso consapevole dei siti web</w:t>
      </w:r>
    </w:p>
    <w:p>
      <w:pPr>
        <w:pStyle w:val="LOnormal"/>
        <w:numPr>
          <w:ilvl w:val="0"/>
          <w:numId w:val="3"/>
        </w:numPr>
        <w:shd w:val="clear" w:fill="FFFFFF"/>
        <w:spacing w:lineRule="auto" w:line="240" w:before="0" w:after="0"/>
        <w:jc w:val="both"/>
        <w:rPr>
          <w:color w:val="000000"/>
        </w:rPr>
      </w:pPr>
      <w:r>
        <w:rPr>
          <w:color w:val="222222"/>
        </w:rPr>
        <w:t>I pericoli sulla rete</w:t>
      </w:r>
    </w:p>
    <w:p>
      <w:pPr>
        <w:pStyle w:val="LOnormal"/>
        <w:numPr>
          <w:ilvl w:val="0"/>
          <w:numId w:val="3"/>
        </w:numPr>
        <w:shd w:val="clear" w:fill="FFFFFF"/>
        <w:spacing w:lineRule="auto" w:line="240" w:before="0" w:after="0"/>
        <w:jc w:val="both"/>
        <w:rPr>
          <w:color w:val="000000"/>
        </w:rPr>
      </w:pPr>
      <w:r>
        <w:rPr>
          <w:color w:val="222222"/>
        </w:rPr>
        <w:t>Sicurezza informatica</w:t>
      </w:r>
    </w:p>
    <w:p>
      <w:pPr>
        <w:pStyle w:val="LOnormal"/>
        <w:numPr>
          <w:ilvl w:val="0"/>
          <w:numId w:val="3"/>
        </w:numPr>
        <w:shd w:val="clear" w:fill="FFFFFF"/>
        <w:spacing w:lineRule="auto" w:line="240" w:before="0" w:after="240"/>
        <w:jc w:val="both"/>
        <w:rPr>
          <w:color w:val="000000"/>
        </w:rPr>
      </w:pPr>
      <w:r>
        <w:rPr>
          <w:color w:val="222222"/>
        </w:rPr>
        <w:t>Sicurezza e protezione dei dati</w:t>
      </w:r>
    </w:p>
    <w:p>
      <w:pPr>
        <w:pStyle w:val="LOnormal"/>
        <w:numPr>
          <w:ilvl w:val="0"/>
          <w:numId w:val="3"/>
        </w:numPr>
        <w:shd w:val="clear" w:fill="FFFFFF"/>
        <w:spacing w:lineRule="auto" w:line="240" w:before="0" w:after="0"/>
        <w:jc w:val="both"/>
        <w:rPr>
          <w:color w:val="000000"/>
        </w:rPr>
      </w:pPr>
      <w:r>
        <w:rPr>
          <w:color w:val="222222"/>
        </w:rPr>
        <w:t>Crittografia</w:t>
      </w:r>
    </w:p>
    <w:p>
      <w:pPr>
        <w:pStyle w:val="LOnormal"/>
        <w:numPr>
          <w:ilvl w:val="0"/>
          <w:numId w:val="3"/>
        </w:numPr>
        <w:shd w:val="clear" w:fill="FFFFFF"/>
        <w:spacing w:lineRule="auto" w:line="240" w:before="0" w:after="240"/>
        <w:jc w:val="both"/>
        <w:rPr>
          <w:color w:val="000000"/>
        </w:rPr>
      </w:pPr>
      <w:r>
        <w:rPr>
          <w:color w:val="222222"/>
        </w:rPr>
        <w:t>Privacy e dati sensibili</w:t>
      </w:r>
    </w:p>
    <w:p>
      <w:pPr>
        <w:pStyle w:val="LOnormal"/>
        <w:numPr>
          <w:ilvl w:val="0"/>
          <w:numId w:val="3"/>
        </w:numPr>
        <w:shd w:val="clear" w:fill="FFFFFF"/>
        <w:spacing w:lineRule="auto" w:line="240" w:before="0" w:after="240"/>
        <w:jc w:val="both"/>
        <w:rPr>
          <w:color w:val="000000"/>
        </w:rPr>
      </w:pPr>
      <w:r>
        <w:rPr>
          <w:color w:val="222222"/>
        </w:rPr>
        <w:t>Ergonomia garantita nel posto di lavoro: il suo ruolo nella postazione</w:t>
      </w:r>
    </w:p>
    <w:p>
      <w:pPr>
        <w:pStyle w:val="LOnormal"/>
        <w:shd w:val="clear" w:fill="FFFFFF"/>
        <w:spacing w:lineRule="auto" w:line="240" w:before="0" w:after="200"/>
        <w:ind w:left="360" w:hanging="0"/>
        <w:jc w:val="both"/>
        <w:rPr>
          <w:color w:val="222222"/>
        </w:rPr>
      </w:pPr>
      <w:r>
        <w:rPr>
          <w:color w:val="222222"/>
        </w:rPr>
      </w:r>
    </w:p>
    <w:p>
      <w:pPr>
        <w:pStyle w:val="LOnormal"/>
        <w:ind w:left="360" w:hanging="0"/>
        <w:jc w:val="both"/>
        <w:rPr>
          <w:color w:val="000000"/>
        </w:rPr>
      </w:pPr>
      <w:r>
        <w:rPr>
          <w:color w:val="000000"/>
        </w:rPr>
      </w:r>
    </w:p>
    <w:p>
      <w:pPr>
        <w:pStyle w:val="LOnormal"/>
        <w:keepNext w:val="false"/>
        <w:keepLines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b/>
          <w:b/>
          <w:i w:val="false"/>
          <w:i w:val="false"/>
          <w:caps w:val="false"/>
          <w:smallCaps w:val="false"/>
          <w:strike w:val="false"/>
          <w:dstrike w:val="false"/>
          <w:color w:val="00000A"/>
          <w:position w:val="0"/>
          <w:sz w:val="20"/>
          <w:sz w:val="20"/>
          <w:szCs w:val="20"/>
          <w:u w:val="none"/>
          <w:shd w:fill="auto" w:val="clear"/>
          <w:vertAlign w:val="baseline"/>
        </w:rPr>
      </w:pPr>
      <w:r>
        <w:rPr>
          <w:b/>
          <w:i w:val="false"/>
          <w:caps w:val="false"/>
          <w:smallCaps w:val="false"/>
          <w:strike w:val="false"/>
          <w:dstrike w:val="false"/>
          <w:color w:val="00000A"/>
          <w:position w:val="0"/>
          <w:sz w:val="20"/>
          <w:sz w:val="20"/>
          <w:szCs w:val="20"/>
          <w:u w:val="none"/>
          <w:shd w:fill="auto" w:val="clear"/>
          <w:vertAlign w:val="baseline"/>
        </w:rPr>
        <w:t>Obiettivi specifici disciplinari</w:t>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b/>
          <w:b/>
        </w:rPr>
      </w:pPr>
      <w:r>
        <w:rPr>
          <w:b/>
        </w:rPr>
      </w:r>
    </w:p>
    <w:p>
      <w:pPr>
        <w:pStyle w:val="LOnormal"/>
        <w:numPr>
          <w:ilvl w:val="0"/>
          <w:numId w:val="1"/>
        </w:numPr>
        <w:ind w:left="425" w:hanging="360"/>
        <w:jc w:val="both"/>
        <w:rPr>
          <w:u w:val="none"/>
        </w:rPr>
      </w:pPr>
      <w:r>
        <w:rPr/>
        <w:t>Riconoscere nel testo costituzionale i principi che regolano la nostra forma di Stato</w:t>
      </w:r>
    </w:p>
    <w:p>
      <w:pPr>
        <w:pStyle w:val="LOnormal"/>
        <w:numPr>
          <w:ilvl w:val="0"/>
          <w:numId w:val="1"/>
        </w:numPr>
        <w:ind w:left="425" w:hanging="360"/>
        <w:jc w:val="both"/>
        <w:rPr>
          <w:u w:val="none"/>
        </w:rPr>
      </w:pPr>
      <w:r>
        <w:rPr/>
        <w:t>Individuare l’evoluzione storica e i caratteri delle diverse forme di Stato e di Governo, cogliendo analogie e differenze</w:t>
      </w:r>
    </w:p>
    <w:p>
      <w:pPr>
        <w:pStyle w:val="LOnormal"/>
        <w:numPr>
          <w:ilvl w:val="0"/>
          <w:numId w:val="1"/>
        </w:numPr>
        <w:ind w:left="425" w:hanging="360"/>
        <w:jc w:val="both"/>
        <w:rPr>
          <w:u w:val="none"/>
        </w:rPr>
      </w:pPr>
      <w:r>
        <w:rPr/>
        <w:t>Distinguere i diversi organi costituzionali e coglierne analogie e differenze in ordine a natura, struttura e funzioni</w:t>
      </w:r>
    </w:p>
    <w:p>
      <w:pPr>
        <w:pStyle w:val="LOnormal"/>
        <w:numPr>
          <w:ilvl w:val="0"/>
          <w:numId w:val="1"/>
        </w:numPr>
        <w:ind w:left="425" w:hanging="360"/>
        <w:jc w:val="both"/>
        <w:rPr>
          <w:u w:val="none"/>
        </w:rPr>
      </w:pPr>
      <w:r>
        <w:rPr/>
        <w:t>Riconoscere le funzioni dei principali organi dell’Unione Europea e distinguere i diversi tipi di norme comunitarie</w:t>
      </w:r>
    </w:p>
    <w:p>
      <w:pPr>
        <w:pStyle w:val="LOnormal"/>
        <w:numPr>
          <w:ilvl w:val="0"/>
          <w:numId w:val="1"/>
        </w:numPr>
        <w:ind w:left="425" w:hanging="360"/>
        <w:jc w:val="both"/>
        <w:rPr>
          <w:rFonts w:ascii="Arial" w:hAnsi="Arial" w:eastAsia="Arial" w:cs="Arial"/>
        </w:rPr>
      </w:pPr>
      <w:r>
        <w:rPr/>
        <w:t>Conoscere le basi dell'organizzazione costituzionale ed amministrativa dei Paesi di cui si studia la lingua, eventualmente confrontandole con quelle italiane, per rispondere ai propri doveri di cittadino ed esercitare con consapevolezza i propri diritti politici a livello nazionale e internazionale.</w:t>
      </w:r>
    </w:p>
    <w:p>
      <w:pPr>
        <w:pStyle w:val="LOnormal"/>
        <w:numPr>
          <w:ilvl w:val="0"/>
          <w:numId w:val="1"/>
        </w:numPr>
        <w:ind w:left="425" w:hanging="360"/>
        <w:jc w:val="both"/>
        <w:rPr>
          <w:rFonts w:ascii="Arial" w:hAnsi="Arial" w:eastAsia="Arial" w:cs="Arial"/>
        </w:rPr>
      </w:pPr>
      <w:r>
        <w:rPr/>
        <w:t>Operare a favore dello sviluppo eco-sostenibile e della tutela delle identità e delle eccellenze produttive dei Paesi di cui si studia la lingua</w:t>
      </w:r>
    </w:p>
    <w:p>
      <w:pPr>
        <w:pStyle w:val="LOnormal"/>
        <w:numPr>
          <w:ilvl w:val="0"/>
          <w:numId w:val="1"/>
        </w:numPr>
        <w:ind w:left="425" w:hanging="360"/>
        <w:jc w:val="both"/>
        <w:rPr>
          <w:u w:val="none"/>
        </w:rPr>
      </w:pPr>
      <w:r>
        <w:rPr>
          <w:color w:val="000000"/>
        </w:rPr>
        <w:t>Conoscere la storia dell'inno nazionale italiano e il suo legame con la produzione poetica di impegno politico e civile di primo Ottocento</w:t>
      </w:r>
    </w:p>
    <w:p>
      <w:pPr>
        <w:pStyle w:val="LOnormal"/>
        <w:numPr>
          <w:ilvl w:val="0"/>
          <w:numId w:val="1"/>
        </w:numPr>
        <w:shd w:val="clear" w:fill="FFFFFF"/>
        <w:spacing w:lineRule="auto" w:line="240" w:before="0" w:after="0"/>
        <w:ind w:left="425" w:hanging="360"/>
        <w:rPr>
          <w:color w:val="000000"/>
        </w:rPr>
      </w:pPr>
      <w:r>
        <w:rPr>
          <w:color w:val="222222"/>
        </w:rPr>
        <w:t>Essere consapevoli delle problematiche legate all’utilizzo e allo smaltimento di diverse sostanze chimiche (terzo anno)</w:t>
      </w:r>
    </w:p>
    <w:p>
      <w:pPr>
        <w:pStyle w:val="LOnormal"/>
        <w:numPr>
          <w:ilvl w:val="0"/>
          <w:numId w:val="1"/>
        </w:numPr>
        <w:shd w:val="clear" w:fill="FFFFFF"/>
        <w:spacing w:lineRule="auto" w:line="240" w:before="0" w:after="0"/>
        <w:ind w:left="425" w:hanging="360"/>
        <w:rPr>
          <w:color w:val="000000"/>
        </w:rPr>
      </w:pPr>
      <w:r>
        <w:rPr>
          <w:color w:val="222222"/>
        </w:rPr>
        <w:t>Raggiungere la consapevolezza dell’importanza dell’impatto degli stili di vita sulla salute (quarto anno)</w:t>
      </w:r>
    </w:p>
    <w:p>
      <w:pPr>
        <w:pStyle w:val="LOnormal"/>
        <w:numPr>
          <w:ilvl w:val="0"/>
          <w:numId w:val="1"/>
        </w:numPr>
        <w:shd w:val="clear" w:fill="FFFFFF"/>
        <w:spacing w:lineRule="auto" w:line="240" w:before="0" w:after="200"/>
        <w:ind w:left="425" w:hanging="360"/>
        <w:jc w:val="both"/>
        <w:rPr>
          <w:color w:val="000000"/>
        </w:rPr>
      </w:pPr>
      <w:r>
        <w:rPr>
          <w:color w:val="000000"/>
        </w:rPr>
        <w:t>Essere in grado di effettuare considerazioni riguardo alle problematiche sollevate dai vari ambiti della ricerca biotecnologica (quinto anno)</w:t>
      </w:r>
    </w:p>
    <w:p>
      <w:pPr>
        <w:pStyle w:val="LOnormal"/>
        <w:shd w:val="clear" w:fill="FFFFFF"/>
        <w:spacing w:lineRule="auto" w:line="240" w:before="0" w:after="200"/>
        <w:ind w:left="720" w:hanging="0"/>
        <w:jc w:val="both"/>
        <w:rPr>
          <w:color w:val="000000"/>
        </w:rPr>
      </w:pPr>
      <w:r>
        <w:rPr>
          <w:color w:val="000000"/>
        </w:rPr>
      </w:r>
    </w:p>
    <w:p>
      <w:pPr>
        <w:pStyle w:val="LOnormal"/>
        <w:tabs>
          <w:tab w:val="clear" w:pos="720"/>
          <w:tab w:val="left" w:pos="708" w:leader="none"/>
        </w:tabs>
        <w:jc w:val="both"/>
        <w:rPr>
          <w:u w:val="single"/>
        </w:rPr>
      </w:pPr>
      <w:r>
        <w:rPr>
          <w:b/>
          <w:u w:val="single"/>
        </w:rPr>
        <w:t>Percorsi disciplinari o multidisciplinari</w:t>
      </w:r>
    </w:p>
    <w:p>
      <w:pPr>
        <w:pStyle w:val="LOnormal"/>
        <w:tabs>
          <w:tab w:val="clear" w:pos="720"/>
          <w:tab w:val="left" w:pos="708" w:leader="none"/>
        </w:tabs>
        <w:jc w:val="both"/>
        <w:rPr>
          <w:u w:val="single"/>
        </w:rPr>
      </w:pPr>
      <w:r>
        <w:rPr>
          <w:u w:val="single"/>
        </w:rPr>
      </w:r>
    </w:p>
    <w:p>
      <w:pPr>
        <w:pStyle w:val="LOnormal"/>
        <w:spacing w:lineRule="auto" w:line="360" w:before="240" w:after="0"/>
        <w:jc w:val="center"/>
        <w:rPr>
          <w:b/>
          <w:b/>
          <w:color w:val="000000"/>
          <w:sz w:val="22"/>
          <w:szCs w:val="22"/>
        </w:rPr>
      </w:pPr>
      <w:r>
        <w:rPr>
          <w:b/>
          <w:color w:val="000000"/>
          <w:sz w:val="22"/>
          <w:szCs w:val="22"/>
        </w:rPr>
      </w:r>
    </w:p>
    <w:tbl>
      <w:tblPr>
        <w:tblStyle w:val="Table1"/>
        <w:tblW w:w="8055" w:type="dxa"/>
        <w:jc w:val="center"/>
        <w:tblInd w:w="0" w:type="dxa"/>
        <w:tblLayout w:type="fixed"/>
        <w:tblCellMar>
          <w:top w:w="100" w:type="dxa"/>
          <w:left w:w="100" w:type="dxa"/>
          <w:bottom w:w="100" w:type="dxa"/>
          <w:right w:w="100" w:type="dxa"/>
        </w:tblCellMar>
        <w:tblLook w:val="0600"/>
      </w:tblPr>
      <w:tblGrid>
        <w:gridCol w:w="1184"/>
        <w:gridCol w:w="6870"/>
      </w:tblGrid>
      <w:tr>
        <w:trPr/>
        <w:tc>
          <w:tcPr>
            <w:tcW w:w="118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color w:val="000000"/>
                <w:sz w:val="22"/>
                <w:szCs w:val="22"/>
              </w:rPr>
            </w:pPr>
            <w:r>
              <w:rPr>
                <w:b/>
                <w:color w:val="000000"/>
                <w:sz w:val="22"/>
                <w:szCs w:val="22"/>
              </w:rPr>
              <w:t>Classi</w:t>
            </w:r>
          </w:p>
        </w:tc>
        <w:tc>
          <w:tcPr>
            <w:tcW w:w="687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360" w:before="240" w:after="0"/>
              <w:ind w:left="360" w:hanging="0"/>
              <w:jc w:val="center"/>
              <w:rPr>
                <w:b/>
                <w:b/>
                <w:color w:val="000000"/>
                <w:sz w:val="22"/>
                <w:szCs w:val="22"/>
              </w:rPr>
            </w:pPr>
            <w:r>
              <w:rPr>
                <w:b/>
                <w:color w:val="000000"/>
                <w:sz w:val="22"/>
                <w:szCs w:val="22"/>
              </w:rPr>
              <w:t>Percorsi</w:t>
            </w:r>
          </w:p>
        </w:tc>
      </w:tr>
      <w:tr>
        <w:trPr/>
        <w:tc>
          <w:tcPr>
            <w:tcW w:w="118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color w:val="000000"/>
                <w:sz w:val="22"/>
                <w:szCs w:val="22"/>
              </w:rPr>
            </w:pPr>
            <w:r>
              <w:rPr>
                <w:b/>
                <w:color w:val="000000"/>
                <w:sz w:val="22"/>
                <w:szCs w:val="22"/>
              </w:rPr>
              <w:t>Classi terze</w:t>
            </w:r>
          </w:p>
        </w:tc>
        <w:tc>
          <w:tcPr>
            <w:tcW w:w="687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numPr>
                <w:ilvl w:val="0"/>
                <w:numId w:val="5"/>
              </w:numPr>
              <w:spacing w:lineRule="auto" w:line="360" w:before="240" w:afterAutospacing="0" w:after="0"/>
              <w:ind w:left="720" w:hanging="360"/>
              <w:rPr>
                <w:b/>
                <w:b/>
                <w:color w:val="000000"/>
                <w:sz w:val="22"/>
                <w:szCs w:val="22"/>
              </w:rPr>
            </w:pPr>
            <w:r>
              <w:rPr>
                <w:color w:val="000000"/>
                <w:sz w:val="22"/>
                <w:szCs w:val="22"/>
              </w:rPr>
              <w:t>elementi fondamentali di diritto,le fonti del diritto,</w:t>
            </w:r>
          </w:p>
          <w:p>
            <w:pPr>
              <w:pStyle w:val="LOnormal"/>
              <w:widowControl w:val="false"/>
              <w:numPr>
                <w:ilvl w:val="0"/>
                <w:numId w:val="5"/>
              </w:numPr>
              <w:spacing w:lineRule="auto" w:line="360" w:beforeAutospacing="0" w:before="0" w:afterAutospacing="0" w:after="0"/>
              <w:ind w:left="720" w:hanging="360"/>
              <w:rPr>
                <w:color w:val="000000"/>
                <w:sz w:val="22"/>
                <w:szCs w:val="22"/>
              </w:rPr>
            </w:pPr>
            <w:r>
              <w:rPr>
                <w:color w:val="000000"/>
                <w:sz w:val="22"/>
                <w:szCs w:val="22"/>
              </w:rPr>
              <w:t>educazione ambientale, sviluppo eco-sostenibile e tutela del patrimonio ambientale, delle identità, delle produzioni e delle eccellenze territoriali e agroalimentari</w:t>
            </w:r>
          </w:p>
          <w:p>
            <w:pPr>
              <w:pStyle w:val="LOnormal"/>
              <w:widowControl w:val="false"/>
              <w:numPr>
                <w:ilvl w:val="0"/>
                <w:numId w:val="5"/>
              </w:numPr>
              <w:spacing w:lineRule="auto" w:line="360" w:beforeAutospacing="0" w:before="0" w:after="0"/>
              <w:ind w:left="720" w:hanging="360"/>
              <w:rPr>
                <w:color w:val="000000"/>
                <w:sz w:val="22"/>
                <w:szCs w:val="22"/>
              </w:rPr>
            </w:pPr>
            <w:r>
              <w:rPr>
                <w:color w:val="000000"/>
                <w:sz w:val="22"/>
                <w:szCs w:val="22"/>
              </w:rPr>
              <w:t>educazione al rispetto e alla valorizzazione del patrimonio culturale e dei beni pubblici comuni, attenzione al valore della ricerca nei vari ambiti del sapere</w:t>
            </w:r>
          </w:p>
        </w:tc>
      </w:tr>
      <w:tr>
        <w:trPr/>
        <w:tc>
          <w:tcPr>
            <w:tcW w:w="118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color w:val="000000"/>
                <w:sz w:val="22"/>
                <w:szCs w:val="22"/>
              </w:rPr>
            </w:pPr>
            <w:r>
              <w:rPr>
                <w:b/>
                <w:color w:val="000000"/>
                <w:sz w:val="22"/>
                <w:szCs w:val="22"/>
              </w:rPr>
              <w:t>Classi quarte</w:t>
            </w:r>
          </w:p>
        </w:tc>
        <w:tc>
          <w:tcPr>
            <w:tcW w:w="687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numPr>
                <w:ilvl w:val="0"/>
                <w:numId w:val="6"/>
              </w:numPr>
              <w:spacing w:lineRule="auto" w:line="360" w:before="240" w:afterAutospacing="0" w:after="0"/>
              <w:ind w:left="720" w:hanging="360"/>
              <w:rPr>
                <w:b/>
                <w:b/>
                <w:color w:val="000000"/>
                <w:sz w:val="22"/>
                <w:szCs w:val="22"/>
              </w:rPr>
            </w:pPr>
            <w:r>
              <w:rPr>
                <w:color w:val="000000"/>
                <w:sz w:val="22"/>
                <w:szCs w:val="22"/>
              </w:rPr>
              <w:t>elementi fondamentali di diritto, con particolare riguardo al diritto del lavoro</w:t>
            </w:r>
          </w:p>
          <w:p>
            <w:pPr>
              <w:pStyle w:val="LOnormal"/>
              <w:widowControl w:val="false"/>
              <w:numPr>
                <w:ilvl w:val="0"/>
                <w:numId w:val="6"/>
              </w:numPr>
              <w:spacing w:lineRule="auto" w:line="360" w:beforeAutospacing="0" w:before="0" w:afterAutospacing="0" w:after="0"/>
              <w:ind w:left="720" w:hanging="360"/>
              <w:rPr>
                <w:color w:val="000000"/>
                <w:sz w:val="22"/>
                <w:szCs w:val="22"/>
              </w:rPr>
            </w:pPr>
            <w:r>
              <w:rPr>
                <w:color w:val="000000"/>
                <w:sz w:val="22"/>
                <w:szCs w:val="22"/>
              </w:rPr>
              <w:t>educazione alla legalità e al contrasto delle mafie</w:t>
            </w:r>
          </w:p>
          <w:p>
            <w:pPr>
              <w:pStyle w:val="LOnormal"/>
              <w:widowControl w:val="false"/>
              <w:numPr>
                <w:ilvl w:val="0"/>
                <w:numId w:val="6"/>
              </w:numPr>
              <w:spacing w:lineRule="auto" w:line="360" w:beforeAutospacing="0" w:before="0" w:afterAutospacing="0" w:after="0"/>
              <w:ind w:left="720" w:hanging="360"/>
              <w:rPr>
                <w:color w:val="000000"/>
                <w:sz w:val="22"/>
                <w:szCs w:val="22"/>
              </w:rPr>
            </w:pPr>
            <w:r>
              <w:rPr>
                <w:color w:val="000000"/>
                <w:sz w:val="22"/>
                <w:szCs w:val="22"/>
              </w:rPr>
              <w:t>formazione di base in materia di protezione civile e conoscenza delle attività di volontariato del territorio</w:t>
            </w:r>
          </w:p>
          <w:p>
            <w:pPr>
              <w:pStyle w:val="LOnormal"/>
              <w:widowControl w:val="false"/>
              <w:numPr>
                <w:ilvl w:val="0"/>
                <w:numId w:val="6"/>
              </w:numPr>
              <w:spacing w:lineRule="auto" w:line="360" w:beforeAutospacing="0" w:before="0" w:after="0"/>
              <w:ind w:left="720" w:hanging="360"/>
              <w:rPr>
                <w:color w:val="000000"/>
                <w:sz w:val="22"/>
                <w:szCs w:val="22"/>
              </w:rPr>
            </w:pPr>
            <w:r>
              <w:rPr>
                <w:color w:val="000000"/>
                <w:sz w:val="22"/>
                <w:szCs w:val="22"/>
              </w:rPr>
              <w:t>alfabetizzazione finanziaria</w:t>
            </w:r>
          </w:p>
        </w:tc>
      </w:tr>
      <w:tr>
        <w:trPr/>
        <w:tc>
          <w:tcPr>
            <w:tcW w:w="118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color w:val="000000"/>
                <w:sz w:val="22"/>
                <w:szCs w:val="22"/>
              </w:rPr>
            </w:pPr>
            <w:r>
              <w:rPr>
                <w:b/>
                <w:color w:val="000000"/>
                <w:sz w:val="22"/>
                <w:szCs w:val="22"/>
              </w:rPr>
              <w:t>Classi quinte</w:t>
            </w:r>
          </w:p>
        </w:tc>
        <w:tc>
          <w:tcPr>
            <w:tcW w:w="687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numPr>
                <w:ilvl w:val="0"/>
                <w:numId w:val="4"/>
              </w:numPr>
              <w:spacing w:lineRule="auto" w:line="360" w:before="240" w:after="0"/>
              <w:ind w:left="720" w:hanging="360"/>
              <w:rPr>
                <w:b/>
                <w:b/>
                <w:color w:val="000000"/>
                <w:sz w:val="22"/>
                <w:szCs w:val="22"/>
              </w:rPr>
            </w:pPr>
            <w:r>
              <w:rPr>
                <w:color w:val="000000"/>
                <w:sz w:val="22"/>
                <w:szCs w:val="22"/>
              </w:rPr>
              <w:t>Costituzione</w:t>
            </w:r>
            <w:r>
              <w:rPr>
                <w:sz w:val="22"/>
                <w:szCs w:val="22"/>
              </w:rPr>
              <w:t xml:space="preserve"> italiana: diritti e doveri </w:t>
            </w:r>
          </w:p>
          <w:p>
            <w:pPr>
              <w:pStyle w:val="LOnormal"/>
              <w:widowControl w:val="false"/>
              <w:numPr>
                <w:ilvl w:val="0"/>
                <w:numId w:val="4"/>
              </w:numPr>
              <w:tabs>
                <w:tab w:val="clear" w:pos="720"/>
                <w:tab w:val="left" w:pos="-372" w:leader="none"/>
              </w:tabs>
              <w:spacing w:before="0" w:afterAutospacing="0" w:after="0"/>
              <w:ind w:left="720" w:hanging="360"/>
              <w:jc w:val="both"/>
              <w:rPr>
                <w:sz w:val="22"/>
                <w:szCs w:val="22"/>
              </w:rPr>
            </w:pPr>
            <w:r>
              <w:rPr>
                <w:sz w:val="22"/>
                <w:szCs w:val="22"/>
              </w:rPr>
              <w:t>Il cittadino italiano e le istituzioni: Parlamento, Governo, Presidente della Repubblica, la Magistratura</w:t>
            </w:r>
          </w:p>
          <w:p>
            <w:pPr>
              <w:pStyle w:val="LOnormal"/>
              <w:widowControl w:val="false"/>
              <w:numPr>
                <w:ilvl w:val="0"/>
                <w:numId w:val="4"/>
              </w:numPr>
              <w:spacing w:lineRule="auto" w:line="360" w:beforeAutospacing="0" w:before="0" w:afterAutospacing="0" w:after="0"/>
              <w:ind w:left="720" w:hanging="360"/>
              <w:rPr>
                <w:b/>
                <w:b/>
                <w:color w:val="000000"/>
                <w:sz w:val="22"/>
                <w:szCs w:val="22"/>
              </w:rPr>
            </w:pPr>
            <w:r>
              <w:rPr>
                <w:sz w:val="22"/>
                <w:szCs w:val="22"/>
              </w:rPr>
              <w:t>Lo Stato italiano e i rapporti internazionali con gli altri Stati e le Organizzazioni internazionali, in particolare ONU e UE</w:t>
            </w:r>
            <w:r>
              <w:rPr>
                <w:color w:val="000000"/>
                <w:sz w:val="22"/>
                <w:szCs w:val="22"/>
              </w:rPr>
              <w:t>,</w:t>
            </w:r>
          </w:p>
          <w:p>
            <w:pPr>
              <w:pStyle w:val="LOnormal"/>
              <w:widowControl w:val="false"/>
              <w:numPr>
                <w:ilvl w:val="0"/>
                <w:numId w:val="4"/>
              </w:numPr>
              <w:spacing w:lineRule="auto" w:line="360" w:beforeAutospacing="0" w:before="0" w:afterAutospacing="0" w:after="0"/>
              <w:ind w:left="720" w:hanging="360"/>
              <w:rPr>
                <w:b/>
                <w:b/>
                <w:color w:val="000000"/>
                <w:sz w:val="22"/>
                <w:szCs w:val="22"/>
              </w:rPr>
            </w:pPr>
            <w:r>
              <w:rPr>
                <w:color w:val="000000"/>
                <w:sz w:val="22"/>
                <w:szCs w:val="22"/>
              </w:rPr>
              <w:t>storia della bandiera, dell'inno nazionale, emblema</w:t>
            </w:r>
          </w:p>
          <w:p>
            <w:pPr>
              <w:pStyle w:val="LOnormal"/>
              <w:widowControl w:val="false"/>
              <w:numPr>
                <w:ilvl w:val="0"/>
                <w:numId w:val="4"/>
              </w:numPr>
              <w:spacing w:lineRule="auto" w:line="360" w:beforeAutospacing="0" w:before="0" w:after="0"/>
              <w:ind w:left="720" w:hanging="360"/>
              <w:rPr>
                <w:color w:val="000000"/>
                <w:sz w:val="22"/>
                <w:szCs w:val="22"/>
              </w:rPr>
            </w:pPr>
            <w:r>
              <w:rPr>
                <w:color w:val="000000"/>
                <w:sz w:val="22"/>
                <w:szCs w:val="22"/>
              </w:rPr>
              <w:t>educazione al rispetto e alla valorizzazione del patrimonio culturale e dei beni pubblici comuni, attenzione al valore della ricerca nei vari ambiti del sapere</w:t>
            </w:r>
          </w:p>
        </w:tc>
      </w:tr>
    </w:tbl>
    <w:p>
      <w:pPr>
        <w:pStyle w:val="LOnormal"/>
        <w:keepNext w:val="false"/>
        <w:keepLines w:val="false"/>
        <w:widowControl/>
        <w:shd w:val="clear" w:fill="auto"/>
        <w:spacing w:lineRule="auto" w:line="276" w:before="0" w:after="20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Metodologie condivise</w:t>
      </w:r>
    </w:p>
    <w:p>
      <w:pPr>
        <w:pStyle w:val="LOnormal"/>
        <w:keepNext w:val="false"/>
        <w:keepLines w:val="false"/>
        <w:widowControl/>
        <w:numPr>
          <w:ilvl w:val="0"/>
          <w:numId w:val="2"/>
        </w:numPr>
        <w:shd w:val="clear" w:fill="auto"/>
        <w:tabs>
          <w:tab w:val="clear" w:pos="720"/>
          <w:tab w:val="left" w:pos="708" w:leader="none"/>
          <w:tab w:val="center" w:pos="4819" w:leader="none"/>
          <w:tab w:val="right" w:pos="9638" w:leader="none"/>
        </w:tabs>
        <w:spacing w:lineRule="auto" w:line="240"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frontale</w:t>
      </w:r>
    </w:p>
    <w:p>
      <w:pPr>
        <w:pStyle w:val="LOnormal"/>
        <w:keepNext w:val="false"/>
        <w:keepLines w:val="false"/>
        <w:widowControl/>
        <w:numPr>
          <w:ilvl w:val="0"/>
          <w:numId w:val="2"/>
        </w:numPr>
        <w:shd w:val="clear" w:fill="auto"/>
        <w:spacing w:lineRule="auto" w:line="276"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lezione interattiva</w:t>
      </w:r>
    </w:p>
    <w:p>
      <w:pPr>
        <w:pStyle w:val="LOnormal"/>
        <w:numPr>
          <w:ilvl w:val="0"/>
          <w:numId w:val="2"/>
        </w:numPr>
        <w:ind w:left="720" w:hanging="360"/>
        <w:jc w:val="both"/>
        <w:rPr>
          <w:rFonts w:ascii="Arial" w:hAnsi="Arial" w:eastAsia="Arial" w:cs="Arial"/>
          <w:sz w:val="20"/>
          <w:szCs w:val="20"/>
          <w:u w:val="none"/>
        </w:rPr>
      </w:pPr>
      <w:r>
        <w:rPr>
          <w:sz w:val="20"/>
          <w:szCs w:val="20"/>
        </w:rPr>
        <w:t>lettura antologica o integrale di opere letterarie in traduzione</w:t>
      </w:r>
    </w:p>
    <w:p>
      <w:pPr>
        <w:pStyle w:val="LOnormal"/>
        <w:keepNext w:val="false"/>
        <w:keepLines w:val="false"/>
        <w:widowControl/>
        <w:numPr>
          <w:ilvl w:val="0"/>
          <w:numId w:val="2"/>
        </w:numPr>
        <w:shd w:val="clear" w:fill="auto"/>
        <w:spacing w:lineRule="auto" w:line="276"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di materiale multimediale, mappe concettuali e schede riassuntive</w:t>
      </w:r>
    </w:p>
    <w:p>
      <w:pPr>
        <w:pStyle w:val="LOnormal"/>
        <w:keepNext w:val="false"/>
        <w:keepLines w:val="false"/>
        <w:widowControl/>
        <w:numPr>
          <w:ilvl w:val="0"/>
          <w:numId w:val="2"/>
        </w:numPr>
        <w:shd w:val="clear" w:fill="auto"/>
        <w:spacing w:lineRule="auto" w:line="276" w:before="0" w:after="0"/>
        <w:ind w:left="720" w:right="0" w:hanging="36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utilizzo dei libri di testo, come strumento privilegiato di studio, e di materiale integrativo fornito dall’insegnante a seconda delle specifiche esigenze di approfondimento</w:t>
      </w:r>
    </w:p>
    <w:p>
      <w:pPr>
        <w:pStyle w:val="LOnormal"/>
        <w:keepNext w:val="false"/>
        <w:keepLines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auto" w:val="clear"/>
          <w:vertAlign w:val="baseline"/>
        </w:rPr>
      </w:pPr>
      <w:r>
        <w:rPr>
          <w:b/>
          <w:i w:val="false"/>
          <w:caps w:val="false"/>
          <w:smallCaps w:val="false"/>
          <w:strike w:val="false"/>
          <w:dstrike w:val="false"/>
          <w:color w:val="00000A"/>
          <w:position w:val="0"/>
          <w:sz w:val="20"/>
          <w:sz w:val="20"/>
          <w:szCs w:val="20"/>
          <w:u w:val="single"/>
          <w:shd w:fill="auto" w:val="clear"/>
          <w:vertAlign w:val="baseline"/>
        </w:rPr>
        <w:t>Criteri di valutazione</w:t>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b w:val="false"/>
          <w:i w:val="false"/>
          <w:caps w:val="false"/>
          <w:smallCaps w:val="false"/>
          <w:strike w:val="false"/>
          <w:dstrike w:val="false"/>
          <w:color w:val="00000A"/>
          <w:position w:val="0"/>
          <w:sz w:val="20"/>
          <w:sz w:val="20"/>
          <w:szCs w:val="20"/>
          <w:u w:val="none"/>
          <w:shd w:fill="auto" w:val="clear"/>
          <w:vertAlign w:val="baseline"/>
        </w:rPr>
        <w:t>È compito del docente coordinatore formulare la proposta di voto (espresso in decimi) dopo avere acquisito elementi conoscitivi dai docenti a cui è affidato l'insegnamento dell'educazione civica. L’insegnamento dell’educazione civica è affidato in contitolarità a tutti i docenti del Consiglio di Classe che effettuano le valutazioni in maniera periodica e in proporzione al monte ore annuale previsto. Il voto di educazione civica concorre all’ammissione alla classe successiva e concorre alla determinazione del credito .</w:t>
      </w:r>
    </w:p>
    <w:p>
      <w:pPr>
        <w:pStyle w:val="LOnormal"/>
        <w:keepNext w:val="false"/>
        <w:keepLines w:val="false"/>
        <w:widowControl/>
        <w:shd w:val="clear" w:fill="auto"/>
        <w:tabs>
          <w:tab w:val="clear" w:pos="720"/>
          <w:tab w:val="left" w:pos="708" w:leader="none"/>
        </w:tabs>
        <w:spacing w:lineRule="auto" w:line="240" w:before="0" w:after="0"/>
        <w:ind w:left="0" w:right="0" w:hanging="0"/>
        <w:jc w:val="both"/>
        <w:rPr>
          <w:color w:val="000000"/>
        </w:rPr>
      </w:pPr>
      <w:r>
        <w:rPr>
          <w:b w:val="false"/>
          <w:i w:val="false"/>
          <w:caps w:val="false"/>
          <w:smallCaps w:val="false"/>
          <w:strike w:val="false"/>
          <w:dstrike w:val="false"/>
          <w:color w:val="000000"/>
          <w:position w:val="0"/>
          <w:sz w:val="20"/>
          <w:sz w:val="20"/>
          <w:szCs w:val="20"/>
          <w:u w:val="none"/>
          <w:shd w:fill="auto" w:val="clear"/>
          <w:vertAlign w:val="baseline"/>
        </w:rPr>
        <w:t xml:space="preserve">La valutazione seguirà i criteri stabiliti dalla griglia allegata di seguito, inoltre terrà conto dell’impegno e della partecipazione degli studenti alle diverse attività. </w:t>
      </w:r>
    </w:p>
    <w:p>
      <w:pPr>
        <w:pStyle w:val="LOnormal"/>
        <w:keepNext w:val="false"/>
        <w:keepLines w:val="false"/>
        <w:widowControl/>
        <w:shd w:val="clear" w:fill="auto"/>
        <w:tabs>
          <w:tab w:val="clear" w:pos="720"/>
          <w:tab w:val="left" w:pos="708" w:leader="none"/>
        </w:tabs>
        <w:spacing w:lineRule="auto" w:line="240" w:before="0" w:after="0"/>
        <w:ind w:left="0" w:right="0" w:hanging="0"/>
        <w:jc w:val="both"/>
        <w:rPr>
          <w:color w:val="000000"/>
        </w:rPr>
      </w:pPr>
      <w:r>
        <w:rPr>
          <w:color w:val="000000"/>
        </w:rPr>
      </w:r>
    </w:p>
    <w:p>
      <w:pPr>
        <w:pStyle w:val="LO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Table2"/>
        <w:tblW w:w="9615" w:type="dxa"/>
        <w:jc w:val="left"/>
        <w:tblInd w:w="0" w:type="dxa"/>
        <w:tblLayout w:type="fixed"/>
        <w:tblCellMar>
          <w:top w:w="0" w:type="dxa"/>
          <w:left w:w="108" w:type="dxa"/>
          <w:bottom w:w="0" w:type="dxa"/>
          <w:right w:w="108" w:type="dxa"/>
        </w:tblCellMar>
        <w:tblLook w:val="0000"/>
      </w:tblPr>
      <w:tblGrid>
        <w:gridCol w:w="3253"/>
        <w:gridCol w:w="5190"/>
        <w:gridCol w:w="1172"/>
      </w:tblGrid>
      <w:tr>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Indicatori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Descrittori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b/>
                <w:color w:val="000000"/>
                <w:sz w:val="18"/>
                <w:szCs w:val="18"/>
              </w:rPr>
              <w:t>Punteggio</w:t>
            </w:r>
          </w:p>
        </w:tc>
      </w:tr>
      <w:tr>
        <w:trPr>
          <w:trHeight w:val="38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Acquisizione dei contenuti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ha acquisito i contenuti o li ha acquisiti in modo estremamente frammentario e lacunoso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parziale e/o incompleto utilizzandoli in modo non sempre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modo corretto e appropriato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38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Ha acquisito i contenuti in maniera completa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38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utilizzare le conoscenze acquisite e di collegarle tra loro</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utilizzare e collegare le conoscenze acquisite o lo fa in modo del tutto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opportunamente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in maniera articolata le conoscenze acquisite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utilizzare e collegare le conoscenze acquisite in maniera ampia e approfondita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argomentare in maniera critica e personale, rielaborando i contenuti acquisiti</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argomentare in maniera critica e personale o argomenta in modo superficiale e disorganico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argomentazioni critiche e personali solo a tratti e solo in relazione a specifici argomenti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semplici argomentazioni critiche e personali con una corretta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articolate argomentazioni critiche e personali rielaborando efficacemente 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formulare ampie e articolate argomentazioni critiche e personali con un’originale riformulazione dei contenuti acquisiti</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Ricchezza e padronanza lessicale e semantica</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scorretto o stentato utilizzando un lessico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non sempre corretto o stentato utilizzando un lessico parzialmente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corretto utilizzando un lessico 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in modo preciso e accurato utilizzando un lessico vario e articolato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Si esprime con ricchezza e piena padronanza lessicale e semantica</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0" w:hRule="atLeast"/>
        </w:trPr>
        <w:tc>
          <w:tcPr>
            <w:tcW w:w="3253" w:type="dxa"/>
            <w:vMerge w:val="restart"/>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Capacità di analisi e comprensione della realtà</w:t>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Non è in grado di analizzare e comprendere la realtà o la fa in modo inadeguato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1-3</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analizzare e comprendere la realtà con difficoltà o solo se guidato</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4-5</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adeguata della realtà sulla base di una corretta riflessione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6-7</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precisa della realtà sulla base di un’attenta riflessione </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8-9</w:t>
            </w:r>
          </w:p>
        </w:tc>
      </w:tr>
      <w:tr>
        <w:trPr>
          <w:trHeight w:val="420" w:hRule="atLeast"/>
        </w:trPr>
        <w:tc>
          <w:tcPr>
            <w:tcW w:w="3253" w:type="dxa"/>
            <w:vMerge w:val="continue"/>
            <w:tcBorders>
              <w:top w:val="single" w:sz="8" w:space="0" w:color="000000"/>
              <w:left w:val="single" w:sz="8" w:space="0" w:color="000000"/>
              <w:bottom w:val="single" w:sz="8" w:space="0" w:color="000000"/>
              <w:right w:val="single" w:sz="8" w:space="0" w:color="000000"/>
            </w:tcBorders>
          </w:tcPr>
          <w:p>
            <w:pPr>
              <w:pStyle w:val="LOnormal"/>
              <w:keepNext w:val="false"/>
              <w:keepLines w:val="false"/>
              <w:widowControl w:val="false"/>
              <w:pBdr/>
              <w:shd w:val="clear" w:fill="auto"/>
              <w:spacing w:lineRule="auto" w:line="276" w:before="0" w:after="0"/>
              <w:ind w:left="0" w:right="0" w:hanging="0"/>
              <w:jc w:val="left"/>
              <w:rPr>
                <w:rFonts w:ascii="Calibri" w:hAnsi="Calibri" w:eastAsia="Calibri" w:cs="Calibri"/>
                <w:color w:val="000000"/>
              </w:rPr>
            </w:pPr>
            <w:r>
              <w:rPr>
                <w:rFonts w:eastAsia="Calibri" w:cs="Calibri" w:ascii="Calibri" w:hAnsi="Calibri"/>
                <w:color w:val="000000"/>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È in grado di compiere un’analisi approfondita della realtà sulla base di una riflessione critica e consapevole</w:t>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10</w:t>
            </w:r>
          </w:p>
        </w:tc>
      </w:tr>
      <w:tr>
        <w:trPr>
          <w:trHeight w:val="420" w:hRule="atLeast"/>
        </w:trPr>
        <w:tc>
          <w:tcPr>
            <w:tcW w:w="3253"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5190"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240" w:before="0" w:after="2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72" w:type="dxa"/>
            <w:tcBorders>
              <w:top w:val="single" w:sz="8" w:space="0" w:color="000000"/>
              <w:left w:val="single" w:sz="8" w:space="0" w:color="000000"/>
              <w:bottom w:val="single" w:sz="8" w:space="0" w:color="000000"/>
              <w:right w:val="single" w:sz="8" w:space="0" w:color="000000"/>
            </w:tcBorders>
          </w:tcPr>
          <w:p>
            <w:pPr>
              <w:pStyle w:val="LOnormal"/>
              <w:widowControl w:val="false"/>
              <w:rPr>
                <w:rFonts w:ascii="Calibri" w:hAnsi="Calibri" w:eastAsia="Calibri" w:cs="Calibri"/>
                <w:color w:val="000000"/>
              </w:rPr>
            </w:pPr>
            <w:r>
              <w:rPr>
                <w:color w:val="000000"/>
                <w:sz w:val="18"/>
                <w:szCs w:val="18"/>
              </w:rPr>
              <w:t>____ / 50</w:t>
            </w:r>
          </w:p>
        </w:tc>
      </w:tr>
    </w:tbl>
    <w:p>
      <w:pPr>
        <w:pStyle w:val="LOnormal"/>
        <w:widowControl w:val="false"/>
        <w:rPr/>
      </w:pPr>
      <w:r>
        <w:rPr/>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p>
      <w:pPr>
        <w:pStyle w:val="LOnormal"/>
        <w:shd w:val="clear" w:fill="FFFFFF"/>
        <w:tabs>
          <w:tab w:val="clear" w:pos="720"/>
          <w:tab w:val="left" w:pos="708" w:leader="none"/>
        </w:tabs>
        <w:jc w:val="both"/>
        <w:rPr>
          <w:color w:val="000000"/>
          <w:u w:val="single"/>
        </w:rPr>
      </w:pPr>
      <w:r>
        <w:rPr>
          <w:b/>
          <w:color w:val="000000"/>
          <w:u w:val="single"/>
        </w:rPr>
        <w:t>Prove di ingresso e prove parallele</w:t>
      </w:r>
    </w:p>
    <w:p>
      <w:pPr>
        <w:pStyle w:val="LOnormal"/>
        <w:tabs>
          <w:tab w:val="clear" w:pos="720"/>
          <w:tab w:val="left" w:pos="708" w:leader="none"/>
        </w:tabs>
        <w:jc w:val="both"/>
        <w:rPr>
          <w:rFonts w:ascii="Times New Roman" w:hAnsi="Times New Roman" w:eastAsia="Times New Roman" w:cs="Times New Roman"/>
        </w:rPr>
      </w:pPr>
      <w:r>
        <w:rPr/>
        <w:t>Non sono previste prove di ingresso.</w:t>
      </w:r>
      <w:r>
        <w:rPr>
          <w:color w:val="FF0000"/>
        </w:rPr>
        <w:t xml:space="preserve"> </w:t>
      </w:r>
      <w:r>
        <w:rPr>
          <w:color w:val="000000"/>
        </w:rPr>
        <w:t>I docenti della classe potranno concordare prove comuni.</w:t>
      </w:r>
    </w:p>
    <w:p>
      <w:pPr>
        <w:pStyle w:val="LOnormal"/>
        <w:tabs>
          <w:tab w:val="clear" w:pos="720"/>
          <w:tab w:val="left" w:pos="708" w:leader="none"/>
        </w:tabs>
        <w:jc w:val="both"/>
        <w:rPr>
          <w:color w:val="FF0000"/>
        </w:rPr>
      </w:pPr>
      <w:r>
        <w:rPr>
          <w:color w:val="FF0000"/>
        </w:rPr>
      </w:r>
    </w:p>
    <w:p>
      <w:pPr>
        <w:pStyle w:val="LOnormal"/>
        <w:tabs>
          <w:tab w:val="clear" w:pos="720"/>
          <w:tab w:val="left" w:pos="708" w:leader="none"/>
        </w:tabs>
        <w:jc w:val="both"/>
        <w:rPr>
          <w:u w:val="single"/>
        </w:rPr>
      </w:pPr>
      <w:r>
        <w:rPr>
          <w:b/>
          <w:u w:val="single"/>
        </w:rPr>
        <w:t>Strategie per il miglioramento dei livelli di apprendimento</w:t>
      </w:r>
    </w:p>
    <w:p>
      <w:pPr>
        <w:pStyle w:val="LOnormal"/>
        <w:tabs>
          <w:tab w:val="clear" w:pos="720"/>
          <w:tab w:val="left" w:pos="-12" w:leader="none"/>
        </w:tabs>
        <w:jc w:val="both"/>
        <w:rPr>
          <w:color w:val="000000"/>
        </w:rPr>
      </w:pPr>
      <w:r>
        <w:rPr>
          <w:color w:val="000000"/>
        </w:rPr>
        <w:t>Ogni docente metterà in atto le stesse strategie di recupero previste per la propria disciplina.</w:t>
      </w:r>
    </w:p>
    <w:p>
      <w:pPr>
        <w:pStyle w:val="LOnormal"/>
        <w:tabs>
          <w:tab w:val="clear" w:pos="720"/>
          <w:tab w:val="left" w:pos="708" w:leader="none"/>
        </w:tabs>
        <w:jc w:val="both"/>
        <w:rPr>
          <w:color w:val="000000"/>
          <w:u w:val="single"/>
        </w:rPr>
      </w:pPr>
      <w:r>
        <w:rPr>
          <w:color w:val="000000"/>
          <w:u w:val="single"/>
        </w:rPr>
      </w:r>
    </w:p>
    <w:p>
      <w:pPr>
        <w:pStyle w:val="LOnormal"/>
        <w:rPr>
          <w:u w:val="single"/>
        </w:rPr>
      </w:pPr>
      <w:r>
        <w:rPr>
          <w:b/>
          <w:u w:val="single"/>
        </w:rPr>
        <w:t>Modaltà di comunicazioni trasparenti in merito alla valutazione del percorso scolastico</w:t>
      </w:r>
    </w:p>
    <w:p>
      <w:pPr>
        <w:pStyle w:val="LOnormal"/>
        <w:rPr/>
      </w:pPr>
      <w:r>
        <w:rPr/>
        <w:t>Le valutazioni verranno comunicate tramite Registro Elettronico.</w:t>
      </w:r>
    </w:p>
    <w:p>
      <w:pPr>
        <w:pStyle w:val="LOnormal"/>
        <w:keepNext w:val="false"/>
        <w:keepLines w:val="false"/>
        <w:widowControl/>
        <w:shd w:val="clear" w:fill="auto"/>
        <w:tabs>
          <w:tab w:val="clear" w:pos="720"/>
          <w:tab w:val="left" w:pos="708" w:leader="none"/>
          <w:tab w:val="center" w:pos="4819" w:leader="none"/>
          <w:tab w:val="right" w:pos="9638" w:leader="none"/>
        </w:tabs>
        <w:spacing w:lineRule="auto" w:line="276" w:before="0" w:after="200"/>
        <w:ind w:left="0" w:right="0" w:hanging="0"/>
        <w:jc w:val="both"/>
        <w:rPr>
          <w:b/>
          <w:b/>
          <w:color w:val="000000"/>
          <w:u w:val="single"/>
        </w:rPr>
      </w:pPr>
      <w:r>
        <w:rPr/>
      </w:r>
    </w:p>
    <w:sectPr>
      <w:headerReference w:type="default" r:id="rId2"/>
      <w:footerReference w:type="default" r:id="rId3"/>
      <w:type w:val="nextPage"/>
      <w:pgSz w:w="11906" w:h="16838"/>
      <w:pgMar w:left="1134" w:right="1134" w:header="709" w:top="766" w:footer="426" w:bottom="70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fldChar w:fldCharType="begin"/>
    </w:r>
    <w:r>
      <w:rPr/>
      <w:instrText> PAGE </w:instrText>
    </w:r>
    <w:r>
      <w:rPr/>
      <w:fldChar w:fldCharType="separate"/>
    </w:r>
    <w:r>
      <w:rPr/>
      <w:t>5</w:t>
    </w:r>
    <w:r>
      <w:rPr/>
      <w:fldChar w:fldCharType="end"/>
    </w:r>
    <w:r>
      <w:rPr>
        <w:b w:val="false"/>
        <w:i w:val="false"/>
        <w:caps w:val="false"/>
        <w:smallCaps w:val="false"/>
        <w:strike w:val="false"/>
        <w:dstrike w:val="false"/>
        <w:color w:val="00000A"/>
        <w:position w:val="0"/>
        <w:sz w:val="20"/>
        <w:sz w:val="20"/>
        <w:szCs w:val="20"/>
        <w:u w:val="none"/>
        <w:shd w:fill="auto" w:val="clear"/>
        <w:vertAlign w:val="baseline"/>
      </w:rPr>
      <w:t xml:space="preserve">di </w:t>
    </w:r>
    <w:r>
      <w:rPr/>
      <w:fldChar w:fldCharType="begin"/>
    </w:r>
    <w:r>
      <w:rPr/>
      <w:instrText> NUMPAGES </w:instrText>
    </w:r>
    <w:r>
      <w:rPr/>
      <w:fldChar w:fldCharType="separate"/>
    </w:r>
    <w:r>
      <w:rPr/>
      <w:t>5</w:t>
    </w:r>
    <w:r>
      <w:rPr/>
      <w:fldChar w:fldCharType="end"/>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Arial" w:cs="Arial"/>
        <w:b w:val="false"/>
        <w:i w:val="false"/>
        <w:caps w:val="false"/>
        <w:smallCaps w:val="false"/>
        <w:strike w:val="false"/>
        <w:dstrike w:val="false"/>
        <w:color w:val="00000A"/>
        <w:position w:val="0"/>
        <w:sz w:val="20"/>
        <w:sz w:val="20"/>
        <w:szCs w:val="20"/>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819" w:leader="none"/>
        <w:tab w:val="right" w:pos="9638"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auto" w:val="clear"/>
        <w:vertAlign w:val="baseline"/>
      </w:rPr>
    </w:pPr>
    <w:r>
      <w:rPr/>
      <w:drawing>
        <wp:inline distT="0" distB="0" distL="0" distR="0">
          <wp:extent cx="6120130" cy="9677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120130" cy="9677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360" w:hanging="360"/>
      </w:pPr>
      <w:rPr>
        <w:rFonts w:ascii="Noto Sans Symbols" w:hAnsi="Noto Sans Symbols" w:cs="Noto Sans Symbols" w:hint="default"/>
      </w:rPr>
    </w:lvl>
    <w:lvl w:ilvl="1">
      <w:start w:val="0"/>
      <w:numFmt w:val="bullet"/>
      <w:lvlText w:val="○"/>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Noto Sans Symbols" w:hAnsi="Noto Sans Symbols" w:cs="Noto Sans Symbols" w:hint="default"/>
      </w:rPr>
    </w:lvl>
    <w:lvl w:ilvl="3">
      <w:start w:val="0"/>
      <w:numFmt w:val="bullet"/>
      <w:lvlText w:val="●"/>
      <w:lvlJc w:val="left"/>
      <w:pPr>
        <w:tabs>
          <w:tab w:val="num" w:pos="0"/>
        </w:tabs>
        <w:ind w:left="2880" w:hanging="360"/>
      </w:pPr>
      <w:rPr>
        <w:rFonts w:ascii="Noto Sans Symbols" w:hAnsi="Noto Sans Symbols" w:cs="Noto Sans Symbols" w:hint="default"/>
      </w:rPr>
    </w:lvl>
    <w:lvl w:ilvl="4">
      <w:start w:val="0"/>
      <w:numFmt w:val="bullet"/>
      <w:lvlText w:val="○"/>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Noto Sans Symbols" w:hAnsi="Noto Sans Symbols" w:cs="Noto Sans Symbols" w:hint="default"/>
      </w:rPr>
    </w:lvl>
    <w:lvl w:ilvl="6">
      <w:start w:val="0"/>
      <w:numFmt w:val="bullet"/>
      <w:lvlText w:val="●"/>
      <w:lvlJc w:val="left"/>
      <w:pPr>
        <w:tabs>
          <w:tab w:val="num" w:pos="0"/>
        </w:tabs>
        <w:ind w:left="5040" w:hanging="360"/>
      </w:pPr>
      <w:rPr>
        <w:rFonts w:ascii="Noto Sans Symbols" w:hAnsi="Noto Sans Symbols" w:cs="Noto Sans Symbols" w:hint="default"/>
      </w:rPr>
    </w:lvl>
    <w:lvl w:ilvl="7">
      <w:start w:val="0"/>
      <w:numFmt w:val="bullet"/>
      <w:lvlText w:val="○"/>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1">
    <w:name w:val="Heading 1"/>
    <w:basedOn w:val="LOnormal"/>
    <w:next w:val="LOnormal"/>
    <w:qFormat/>
    <w:pPr>
      <w:keepNext w:val="true"/>
      <w:keepLines/>
      <w:spacing w:lineRule="auto" w:line="240" w:before="480" w:after="120"/>
    </w:pPr>
    <w:rPr>
      <w:b/>
      <w:sz w:val="48"/>
      <w:szCs w:val="48"/>
    </w:rPr>
  </w:style>
  <w:style w:type="paragraph" w:styleId="Titolo2">
    <w:name w:val="Heading 2"/>
    <w:basedOn w:val="LOnormal"/>
    <w:next w:val="LOnormal"/>
    <w:qFormat/>
    <w:pPr>
      <w:keepNext w:val="true"/>
      <w:keepLines w:val="false"/>
      <w:widowControl/>
      <w:shd w:val="clear" w:fill="auto"/>
      <w:spacing w:lineRule="auto" w:line="240" w:before="0" w:after="0"/>
      <w:ind w:left="576" w:right="0" w:hanging="576"/>
      <w:jc w:val="both"/>
    </w:pPr>
    <w:rPr>
      <w:rFonts w:ascii="Times New Roman" w:hAnsi="Times New Roman" w:eastAsia="Times New Roman" w:cs="Times New Roman"/>
      <w:b w:val="false"/>
      <w:i w:val="false"/>
      <w:caps w:val="false"/>
      <w:smallCaps w:val="false"/>
      <w:strike w:val="false"/>
      <w:dstrike w:val="false"/>
      <w:color w:val="00000A"/>
      <w:position w:val="0"/>
      <w:sz w:val="24"/>
      <w:sz w:val="24"/>
      <w:szCs w:val="24"/>
      <w:u w:val="single"/>
      <w:shd w:fill="auto" w:val="clear"/>
      <w:vertAlign w:val="baseline"/>
    </w:rPr>
  </w:style>
  <w:style w:type="paragraph" w:styleId="Titolo3">
    <w:name w:val="Heading 3"/>
    <w:basedOn w:val="LOnormal"/>
    <w:next w:val="LOnormal"/>
    <w:qFormat/>
    <w:pPr>
      <w:keepNext w:val="false"/>
      <w:keepLines w:val="false"/>
      <w:widowControl/>
      <w:shd w:val="clear" w:fill="auto"/>
      <w:tabs>
        <w:tab w:val="clear" w:pos="720"/>
        <w:tab w:val="center" w:pos="4819" w:leader="none"/>
        <w:tab w:val="right" w:pos="9638" w:leader="none"/>
      </w:tabs>
      <w:spacing w:lineRule="auto" w:line="240" w:before="0" w:after="0"/>
      <w:ind w:left="720" w:right="0" w:hanging="720"/>
      <w:jc w:val="left"/>
    </w:pPr>
    <w:rPr>
      <w:rFonts w:ascii="Times New Roman" w:hAnsi="Times New Roman" w:eastAsia="Times New Roman" w:cs="Times New Roman"/>
      <w:b/>
      <w:i w:val="false"/>
      <w:caps w:val="false"/>
      <w:smallCaps w:val="false"/>
      <w:strike w:val="false"/>
      <w:dstrike w:val="false"/>
      <w:color w:val="00000A"/>
      <w:position w:val="0"/>
      <w:sz w:val="28"/>
      <w:sz w:val="28"/>
      <w:szCs w:val="28"/>
      <w:u w:val="none"/>
      <w:shd w:fill="auto" w:val="clear"/>
      <w:vertAlign w:val="baseline"/>
    </w:rPr>
  </w:style>
  <w:style w:type="paragraph" w:styleId="Titolo4">
    <w:name w:val="Heading 4"/>
    <w:basedOn w:val="LOnormal"/>
    <w:next w:val="LOnormal"/>
    <w:qFormat/>
    <w:pPr>
      <w:keepNext w:val="true"/>
      <w:keepLines/>
      <w:spacing w:lineRule="auto" w:line="240" w:before="240" w:after="40"/>
    </w:pPr>
    <w:rPr>
      <w:b/>
      <w:sz w:val="24"/>
      <w:szCs w:val="24"/>
    </w:rPr>
  </w:style>
  <w:style w:type="paragraph" w:styleId="Titolo5">
    <w:name w:val="Heading 5"/>
    <w:basedOn w:val="LOnormal"/>
    <w:next w:val="LOnormal"/>
    <w:qFormat/>
    <w:pPr>
      <w:keepNext w:val="true"/>
      <w:keepLines/>
      <w:spacing w:lineRule="auto" w:line="240" w:before="220" w:after="40"/>
    </w:pPr>
    <w:rPr>
      <w:b/>
      <w:sz w:val="22"/>
      <w:szCs w:val="22"/>
    </w:rPr>
  </w:style>
  <w:style w:type="paragraph" w:styleId="Titolo6">
    <w:name w:val="Heading 6"/>
    <w:basedOn w:val="LOnormal"/>
    <w:next w:val="LOnormal"/>
    <w:qFormat/>
    <w:pPr>
      <w:keepNext w:val="true"/>
      <w:keepLines/>
      <w:spacing w:lineRule="auto" w:line="240" w:before="200" w:after="40"/>
    </w:pPr>
    <w:rPr>
      <w:b/>
      <w:sz w:val="20"/>
      <w:szCs w:val="20"/>
    </w:rPr>
  </w:style>
  <w:style w:type="paragraph" w:styleId="Titolo">
    <w:name w:val="Titolo"/>
    <w:basedOn w:val="Normal1"/>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1"/>
    <w:pPr>
      <w:spacing w:lineRule="auto" w:line="276" w:before="0" w:after="140"/>
    </w:pPr>
    <w:rPr/>
  </w:style>
  <w:style w:type="paragraph" w:styleId="Elenco">
    <w:name w:val="List"/>
    <w:basedOn w:val="Corpodeltesto"/>
    <w:pPr/>
    <w:rPr>
      <w:rFonts w:cs="Lucida Sans"/>
    </w:rPr>
  </w:style>
  <w:style w:type="paragraph" w:styleId="Didascalia">
    <w:name w:val="Caption"/>
    <w:basedOn w:val="Normal1"/>
    <w:qFormat/>
    <w:pPr>
      <w:suppressLineNumbers/>
      <w:spacing w:before="120" w:after="120"/>
    </w:pPr>
    <w:rPr>
      <w:rFonts w:cs="Lucida Sans"/>
      <w:i/>
      <w:iCs/>
      <w:sz w:val="24"/>
      <w:szCs w:val="24"/>
    </w:rPr>
  </w:style>
  <w:style w:type="paragraph" w:styleId="Indice">
    <w:name w:val="Indice"/>
    <w:basedOn w:val="Normal1"/>
    <w:qFormat/>
    <w:pPr>
      <w:suppressLineNumbers/>
    </w:pPr>
    <w:rPr>
      <w:rFonts w:cs="Lucida Sans"/>
    </w:rPr>
  </w:style>
  <w:style w:type="paragraph" w:styleId="Normal1" w:default="1">
    <w:name w:val="LO-normal1"/>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Titoloprincipale">
    <w:name w:val="Title"/>
    <w:basedOn w:val="LOnormal"/>
    <w:next w:val="LOnormal"/>
    <w:qFormat/>
    <w:pPr>
      <w:keepNext w:val="true"/>
      <w:spacing w:lineRule="auto" w:line="240" w:before="240" w:after="120"/>
      <w:jc w:val="left"/>
    </w:pPr>
    <w:rPr>
      <w:rFonts w:ascii="Liberation Sans" w:hAnsi="Liberation Sans" w:eastAsia="Liberation Sans" w:cs="Liberation Sans"/>
      <w:b/>
      <w:sz w:val="28"/>
      <w:szCs w:val="28"/>
    </w:rPr>
  </w:style>
  <w:style w:type="paragraph" w:styleId="LOnormal" w:default="1">
    <w:name w:val="LO-normal"/>
    <w:qFormat/>
    <w:pPr>
      <w:widowControl/>
      <w:bidi w:val="0"/>
      <w:spacing w:before="0" w:after="0"/>
      <w:jc w:val="left"/>
    </w:pPr>
    <w:rPr>
      <w:rFonts w:ascii="Arial" w:hAnsi="Arial" w:eastAsia="Arial" w:cs="Arial"/>
      <w:color w:val="00000A"/>
      <w:kern w:val="0"/>
      <w:sz w:val="20"/>
      <w:szCs w:val="20"/>
      <w:lang w:val="it-IT" w:eastAsia="zh-CN" w:bidi="hi-IN"/>
    </w:rPr>
  </w:style>
  <w:style w:type="paragraph" w:styleId="Sottotitolo">
    <w:name w:val="Subtitle"/>
    <w:basedOn w:val="Normal1"/>
    <w:next w:val="Normal1"/>
    <w:qFormat/>
    <w:pPr>
      <w:keepNext w:val="false"/>
      <w:keepLines w:val="false"/>
      <w:widowControl/>
      <w:shd w:val="clear" w:fill="auto"/>
      <w:tabs>
        <w:tab w:val="clear" w:pos="720"/>
        <w:tab w:val="center" w:pos="4819" w:leader="none"/>
        <w:tab w:val="right" w:pos="9638" w:leader="none"/>
      </w:tabs>
      <w:spacing w:lineRule="auto" w:line="240" w:before="0" w:after="0"/>
      <w:ind w:left="0" w:right="0" w:hanging="0"/>
      <w:jc w:val="center"/>
    </w:pPr>
    <w:rPr>
      <w:rFonts w:ascii="Times New Roman" w:hAnsi="Times New Roman" w:eastAsia="Times New Roman" w:cs="Times New Roman"/>
      <w:b w:val="false"/>
      <w:i/>
      <w:caps w:val="false"/>
      <w:smallCaps w:val="false"/>
      <w:strike w:val="false"/>
      <w:dstrike w:val="false"/>
      <w:color w:val="00000A"/>
      <w:position w:val="0"/>
      <w:sz w:val="28"/>
      <w:sz w:val="28"/>
      <w:szCs w:val="28"/>
      <w:u w:val="none"/>
      <w:shd w:fill="auto" w:val="clear"/>
      <w:vertAlign w:val="baseline"/>
    </w:rPr>
  </w:style>
  <w:style w:type="paragraph" w:styleId="Intestazioneepidipagina">
    <w:name w:val="Intestazione e piè di pagina"/>
    <w:basedOn w:val="Normal1"/>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nEFAL0ewiAPm3ZMqDmoa6VTFFow==">AMUW2mUYbjBb+AfdGMOsZkgkYvz+710fLSZ22K3tz8hNeLOz5iwfROqPw2z2BYRaA8QbmY+98TZXuDSr3kz3urC2MP2mJWrjK6VpoW0trV50RCn56yh/bgs=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LibreOffice/7.0.1.2$Windows_X86_64 LibreOffice_project/7cbcfc562f6eb6708b5ff7d7397325de9e764452</Application>
  <Pages>10</Pages>
  <Words>1573</Words>
  <Characters>9269</Characters>
  <CharactersWithSpaces>10678</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